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66" w:rsidRDefault="00B75C66">
      <w:pPr>
        <w:pStyle w:val="BodyText"/>
        <w:spacing w:before="11"/>
        <w:rPr>
          <w:rFonts w:ascii="Times New Roman"/>
          <w:sz w:val="11"/>
        </w:rPr>
      </w:pPr>
    </w:p>
    <w:p w:rsidR="00B75C66" w:rsidRDefault="00521784">
      <w:pPr>
        <w:spacing w:before="100"/>
        <w:ind w:left="160"/>
        <w:jc w:val="both"/>
        <w:rPr>
          <w:rFonts w:ascii="Franklin Gothic"/>
          <w:sz w:val="64"/>
        </w:rPr>
      </w:pP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-91602</wp:posOffset>
            </wp:positionV>
            <wp:extent cx="2743199" cy="919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91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"/>
          <w:color w:val="40AD49"/>
          <w:sz w:val="64"/>
        </w:rPr>
        <w:t>Everyday Safety</w:t>
      </w:r>
    </w:p>
    <w:p w:rsidR="00B75C66" w:rsidRDefault="00521784">
      <w:pPr>
        <w:spacing w:before="117"/>
        <w:ind w:left="160"/>
        <w:jc w:val="both"/>
        <w:rPr>
          <w:rFonts w:ascii="Franklin Gothic"/>
          <w:i/>
          <w:sz w:val="32"/>
        </w:rPr>
      </w:pPr>
      <w:r>
        <w:pict>
          <v:line id="_x0000_s1056" style="position:absolute;left:0;text-align:left;z-index:251643904;mso-wrap-distance-left:0;mso-wrap-distance-right:0;mso-position-horizontal-relative:page" from="57pt,29.75pt" to="561pt,29.75pt" strokecolor="#40ad49" strokeweight="1pt">
            <w10:wrap type="topAndBottom" anchorx="page"/>
          </v:line>
        </w:pict>
      </w:r>
      <w:r>
        <w:rPr>
          <w:rFonts w:ascii="Franklin Gothic"/>
          <w:i/>
          <w:color w:val="40AD49"/>
          <w:sz w:val="32"/>
        </w:rPr>
        <w:t>Tailgate Talks</w:t>
      </w:r>
    </w:p>
    <w:p w:rsidR="00B75C66" w:rsidRDefault="00521784">
      <w:pPr>
        <w:spacing w:before="296"/>
        <w:ind w:left="181"/>
        <w:jc w:val="both"/>
        <w:rPr>
          <w:b/>
          <w:sz w:val="70"/>
        </w:rPr>
      </w:pPr>
      <w:r>
        <w:rPr>
          <w:b/>
          <w:color w:val="231F20"/>
          <w:sz w:val="70"/>
        </w:rPr>
        <w:t>Blood and Bodily Fluid Safety</w:t>
      </w:r>
    </w:p>
    <w:p w:rsidR="00B75C66" w:rsidRDefault="00521784">
      <w:pPr>
        <w:spacing w:before="184"/>
        <w:ind w:left="459"/>
        <w:rPr>
          <w:i/>
          <w:sz w:val="24"/>
        </w:rPr>
      </w:pPr>
      <w:r>
        <w:rPr>
          <w:i/>
          <w:color w:val="231F20"/>
          <w:sz w:val="24"/>
        </w:rPr>
        <w:t>This Everyday Safety Tailgate Talk was originally published as part of the February 2017</w:t>
      </w:r>
    </w:p>
    <w:p w:rsidR="00B75C66" w:rsidRDefault="00521784">
      <w:pPr>
        <w:spacing w:before="12"/>
        <w:ind w:left="477"/>
        <w:rPr>
          <w:i/>
          <w:sz w:val="24"/>
        </w:rPr>
      </w:pPr>
      <w:r>
        <w:rPr>
          <w:i/>
          <w:color w:val="231F20"/>
          <w:sz w:val="24"/>
        </w:rPr>
        <w:t>training series “The Safety Pins” by Phillip E. Spiezio, Washington County Safety Officer</w:t>
      </w:r>
    </w:p>
    <w:p w:rsidR="00B75C66" w:rsidRDefault="00B75C66">
      <w:pPr>
        <w:pStyle w:val="BodyText"/>
        <w:spacing w:before="9"/>
        <w:rPr>
          <w:i/>
          <w:sz w:val="32"/>
        </w:rPr>
      </w:pPr>
    </w:p>
    <w:p w:rsidR="00B75C66" w:rsidRDefault="00521784">
      <w:pPr>
        <w:ind w:left="104"/>
        <w:jc w:val="both"/>
        <w:rPr>
          <w:b/>
          <w:sz w:val="26"/>
        </w:rPr>
      </w:pPr>
      <w:r>
        <w:rPr>
          <w:b/>
          <w:color w:val="231F20"/>
          <w:sz w:val="26"/>
        </w:rPr>
        <w:t>BLOODBORNE PATHOGENS AND OTHER BODILY FLUID EXPOSURE OVERVIEW</w:t>
      </w:r>
    </w:p>
    <w:p w:rsidR="00B75C66" w:rsidRDefault="00B75C66">
      <w:pPr>
        <w:pStyle w:val="BodyText"/>
        <w:spacing w:before="4"/>
        <w:rPr>
          <w:b/>
          <w:sz w:val="27"/>
        </w:rPr>
      </w:pPr>
    </w:p>
    <w:p w:rsidR="00B75C66" w:rsidRDefault="00521784">
      <w:pPr>
        <w:pStyle w:val="BodyText"/>
        <w:spacing w:line="249" w:lineRule="auto"/>
        <w:ind w:left="100" w:right="4417"/>
        <w:jc w:val="both"/>
      </w:pP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4614636</wp:posOffset>
            </wp:positionH>
            <wp:positionV relativeFrom="paragraph">
              <wp:posOffset>116715</wp:posOffset>
            </wp:positionV>
            <wp:extent cx="2020891" cy="1911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891" cy="19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Blood or other bodily fluids may contain infectious organisms that can cause diseases such as Hepatitis B, C, and </w:t>
      </w:r>
      <w:r>
        <w:rPr>
          <w:color w:val="231F20"/>
          <w:spacing w:val="-7"/>
        </w:rPr>
        <w:t xml:space="preserve">HIV. </w:t>
      </w:r>
      <w:r>
        <w:rPr>
          <w:color w:val="231F20"/>
        </w:rPr>
        <w:t>If blood or other bodily fluids comes in contact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eyes,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mouth,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sk</w:t>
      </w:r>
      <w:r>
        <w:rPr>
          <w:color w:val="231F20"/>
        </w:rPr>
        <w:t>in,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mucous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membranes or through a needle stick immediate action 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required. Washing exposed area thoroughly, reporting the incident to your supervisor and seeking medical attention are all 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actions.</w:t>
      </w:r>
    </w:p>
    <w:p w:rsidR="00B75C66" w:rsidRDefault="005217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8"/>
        <w:rPr>
          <w:sz w:val="24"/>
        </w:rPr>
      </w:pPr>
      <w:r>
        <w:rPr>
          <w:color w:val="231F20"/>
          <w:sz w:val="24"/>
        </w:rPr>
        <w:t>Always assume blood 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infectious</w:t>
      </w:r>
    </w:p>
    <w:p w:rsidR="00B75C66" w:rsidRDefault="005217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6381"/>
        <w:rPr>
          <w:sz w:val="24"/>
        </w:rPr>
      </w:pPr>
      <w:r>
        <w:rPr>
          <w:color w:val="231F20"/>
          <w:sz w:val="24"/>
        </w:rPr>
        <w:t>Avoid contact with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potentially infectious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material</w:t>
      </w:r>
    </w:p>
    <w:p w:rsidR="00B75C66" w:rsidRDefault="005217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color w:val="231F20"/>
          <w:sz w:val="24"/>
        </w:rPr>
        <w:t>Follow all infection control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protocols</w:t>
      </w:r>
    </w:p>
    <w:p w:rsidR="00B75C66" w:rsidRDefault="005217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Wear your personal protective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equipment—always</w:t>
      </w:r>
    </w:p>
    <w:p w:rsidR="00B75C66" w:rsidRDefault="005217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9" w:lineRule="auto"/>
        <w:ind w:right="5963"/>
        <w:rPr>
          <w:sz w:val="24"/>
        </w:rPr>
      </w:pPr>
      <w:r>
        <w:rPr>
          <w:color w:val="231F20"/>
          <w:sz w:val="24"/>
        </w:rPr>
        <w:t>Follow good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hygiene—frequently wash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hands</w:t>
      </w:r>
    </w:p>
    <w:p w:rsidR="00B75C66" w:rsidRDefault="005217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2"/>
        <w:rPr>
          <w:sz w:val="24"/>
        </w:rPr>
      </w:pPr>
      <w:r>
        <w:rPr>
          <w:color w:val="231F20"/>
          <w:sz w:val="24"/>
        </w:rPr>
        <w:t>If you must handle a sharp object then use equipment such 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forceps</w:t>
      </w:r>
    </w:p>
    <w:p w:rsidR="00B75C66" w:rsidRDefault="0052178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color w:val="231F20"/>
          <w:sz w:val="24"/>
        </w:rPr>
        <w:t>Report any exposures immediately to your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supervisor</w:t>
      </w:r>
    </w:p>
    <w:p w:rsidR="00B75C66" w:rsidRDefault="00521784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98"/>
        <w:jc w:val="both"/>
        <w:rPr>
          <w:sz w:val="24"/>
        </w:rPr>
      </w:pPr>
      <w:r>
        <w:rPr>
          <w:color w:val="231F20"/>
          <w:sz w:val="24"/>
        </w:rPr>
        <w:t>Decontaminate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surfaces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materials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handle,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store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temporary place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objects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contact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blood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PIMs.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Apply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disinfectants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(e.g. chlorine bleach solution, Lysol and other EPA-recommended disinfectants) on tools and surfaces. Observe proper precautions when discarding regulated wastes, contaminated sharps 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containers.</w:t>
      </w:r>
    </w:p>
    <w:p w:rsidR="00B75C66" w:rsidRDefault="00521784">
      <w:pPr>
        <w:pStyle w:val="BodyText"/>
        <w:spacing w:before="1"/>
        <w:rPr>
          <w:sz w:val="20"/>
        </w:rPr>
      </w:pPr>
      <w:r>
        <w:pict>
          <v:line id="_x0000_s1055" style="position:absolute;z-index:251644928;mso-wrap-distance-left:0;mso-wrap-distance-right:0;mso-position-horizontal-relative:page" from="54pt,14pt" to="558pt,14pt" strokecolor="#40ad49" strokeweight="1pt">
            <w10:wrap type="topAndBottom" anchorx="page"/>
          </v:line>
        </w:pict>
      </w: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298042</wp:posOffset>
            </wp:positionV>
            <wp:extent cx="1565914" cy="9601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914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6.5pt;margin-top:23pt;width:251pt;height:84.5pt;z-index:251645952;mso-wrap-distance-left:0;mso-wrap-distance-right:0;mso-position-horizontal-relative:page;mso-position-vertical-relative:text" filled="f" strokecolor="#40ad49" strokeweight="1pt">
            <v:textbox inset="0,0,0,0">
              <w:txbxContent>
                <w:p w:rsidR="00B75C66" w:rsidRDefault="00B75C66">
                  <w:pPr>
                    <w:pStyle w:val="BodyText"/>
                    <w:spacing w:before="3"/>
                    <w:rPr>
                      <w:sz w:val="31"/>
                    </w:rPr>
                  </w:pPr>
                </w:p>
                <w:p w:rsidR="00B75C66" w:rsidRDefault="00521784">
                  <w:pPr>
                    <w:spacing w:line="249" w:lineRule="auto"/>
                    <w:ind w:left="180" w:right="18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231F20"/>
                      <w:sz w:val="20"/>
                    </w:rPr>
                    <w:t xml:space="preserve">Everyday Safety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 xml:space="preserve">Tailgate </w:t>
                  </w:r>
                  <w:r>
                    <w:rPr>
                      <w:i/>
                      <w:color w:val="231F20"/>
                      <w:spacing w:val="-6"/>
                      <w:sz w:val="20"/>
                    </w:rPr>
                    <w:t xml:space="preserve">Talks </w:t>
                  </w:r>
                  <w:r>
                    <w:rPr>
                      <w:i/>
                      <w:color w:val="231F20"/>
                      <w:sz w:val="20"/>
                    </w:rPr>
                    <w:t xml:space="preserve">are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published </w:t>
                  </w:r>
                  <w:r>
                    <w:rPr>
                      <w:i/>
                      <w:color w:val="231F20"/>
                      <w:sz w:val="20"/>
                    </w:rPr>
                    <w:t xml:space="preserve">by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Cornell Local Roads </w:t>
                  </w:r>
                  <w:r>
                    <w:rPr>
                      <w:i/>
                      <w:color w:val="231F20"/>
                      <w:sz w:val="20"/>
                    </w:rPr>
                    <w:t xml:space="preserve">Program in cooperation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with 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 xml:space="preserve">National Local </w:t>
                  </w:r>
                  <w:r>
                    <w:rPr>
                      <w:i/>
                      <w:color w:val="231F20"/>
                      <w:spacing w:val="-5"/>
                      <w:sz w:val="20"/>
                    </w:rPr>
                    <w:t xml:space="preserve">Technical </w:t>
                  </w:r>
                  <w:r>
                    <w:rPr>
                      <w:i/>
                      <w:color w:val="231F20"/>
                      <w:sz w:val="20"/>
                    </w:rPr>
                    <w:t xml:space="preserve">Assistance Association 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and participating partner organizations.</w:t>
                  </w:r>
                </w:p>
              </w:txbxContent>
            </v:textbox>
            <w10:wrap type="topAndBottom" anchorx="page"/>
          </v:shape>
        </w:pict>
      </w:r>
    </w:p>
    <w:p w:rsidR="00B75C66" w:rsidRDefault="00B75C66">
      <w:pPr>
        <w:pStyle w:val="BodyText"/>
        <w:rPr>
          <w:sz w:val="8"/>
        </w:rPr>
      </w:pPr>
    </w:p>
    <w:p w:rsidR="00B75C66" w:rsidRDefault="00B75C66">
      <w:pPr>
        <w:rPr>
          <w:sz w:val="8"/>
        </w:rPr>
        <w:sectPr w:rsidR="00B75C66">
          <w:type w:val="continuous"/>
          <w:pgSz w:w="12240" w:h="15840"/>
          <w:pgMar w:top="440" w:right="980" w:bottom="280" w:left="980" w:header="720" w:footer="720" w:gutter="0"/>
          <w:cols w:space="720"/>
        </w:sectPr>
      </w:pPr>
    </w:p>
    <w:p w:rsidR="00B75C66" w:rsidRDefault="00B75C66">
      <w:pPr>
        <w:pStyle w:val="BodyText"/>
        <w:spacing w:before="11"/>
        <w:rPr>
          <w:sz w:val="9"/>
        </w:rPr>
      </w:pPr>
    </w:p>
    <w:p w:rsidR="00B75C66" w:rsidRDefault="00521784">
      <w:pPr>
        <w:pStyle w:val="Heading2"/>
        <w:spacing w:before="90"/>
      </w:pPr>
      <w:r>
        <w:t>Action Item:</w:t>
      </w:r>
    </w:p>
    <w:p w:rsidR="00B75C66" w:rsidRDefault="00521784">
      <w:pPr>
        <w:pStyle w:val="BodyText"/>
        <w:spacing w:before="179" w:line="249" w:lineRule="auto"/>
        <w:ind w:left="100"/>
      </w:pPr>
      <w:r>
        <w:rPr>
          <w:color w:val="231F20"/>
        </w:rPr>
        <w:t>According to the 29CFR 1910.1030 or OSHA’s Bloodborne Pathogens Standard, employers</w:t>
      </w:r>
      <w:r>
        <w:rPr>
          <w:color w:val="231F20"/>
        </w:rPr>
        <w:t xml:space="preserve"> should develop an exposure control plan to eliminate or minimize occupational exposure to potentially infectious body fluids.</w:t>
      </w:r>
    </w:p>
    <w:p w:rsidR="00B75C66" w:rsidRDefault="00B75C66">
      <w:pPr>
        <w:pStyle w:val="BodyText"/>
        <w:rPr>
          <w:sz w:val="26"/>
        </w:rPr>
      </w:pPr>
    </w:p>
    <w:p w:rsidR="00B75C66" w:rsidRDefault="00B75C66">
      <w:pPr>
        <w:pStyle w:val="BodyText"/>
        <w:rPr>
          <w:sz w:val="32"/>
        </w:rPr>
      </w:pPr>
    </w:p>
    <w:p w:rsidR="00B75C66" w:rsidRDefault="00521784">
      <w:pPr>
        <w:pStyle w:val="Heading2"/>
      </w:pPr>
      <w:r>
        <w:t>Related Topics:</w:t>
      </w:r>
    </w:p>
    <w:p w:rsidR="00B75C66" w:rsidRDefault="00B75C66">
      <w:pPr>
        <w:pStyle w:val="BodyText"/>
        <w:rPr>
          <w:b/>
          <w:i/>
          <w:sz w:val="34"/>
        </w:rPr>
      </w:pPr>
    </w:p>
    <w:p w:rsidR="00B75C66" w:rsidRDefault="00521784">
      <w:pPr>
        <w:spacing w:before="272"/>
        <w:ind w:left="100"/>
        <w:rPr>
          <w:b/>
          <w:i/>
          <w:sz w:val="30"/>
        </w:rPr>
      </w:pPr>
      <w:r>
        <w:rPr>
          <w:b/>
          <w:i/>
          <w:sz w:val="30"/>
        </w:rPr>
        <w:t>Resources and References:</w:t>
      </w:r>
    </w:p>
    <w:p w:rsidR="00B75C66" w:rsidRDefault="00521784">
      <w:pPr>
        <w:pStyle w:val="BodyText"/>
        <w:spacing w:before="179"/>
        <w:ind w:left="100"/>
      </w:pPr>
      <w:r>
        <w:t>CDC Blood safety webpage URL:</w:t>
      </w:r>
    </w:p>
    <w:p w:rsidR="00B75C66" w:rsidRDefault="00521784">
      <w:pPr>
        <w:spacing w:before="13"/>
        <w:ind w:left="100"/>
        <w:rPr>
          <w:i/>
          <w:sz w:val="24"/>
        </w:rPr>
      </w:pPr>
      <w:hyperlink r:id="rId10">
        <w:r>
          <w:rPr>
            <w:i/>
            <w:color w:val="008BBF"/>
            <w:sz w:val="24"/>
          </w:rPr>
          <w:t>https://www.cdc.gov/bloodsafety/index.html</w:t>
        </w:r>
      </w:hyperlink>
    </w:p>
    <w:p w:rsidR="00B75C66" w:rsidRDefault="00521784">
      <w:pPr>
        <w:pStyle w:val="BodyText"/>
        <w:spacing w:before="192"/>
        <w:ind w:left="100"/>
      </w:pPr>
      <w:r>
        <w:rPr>
          <w:color w:val="231F20"/>
        </w:rPr>
        <w:t xml:space="preserve">OSHA Bloodborne </w:t>
      </w:r>
      <w:r w:rsidR="006B610D">
        <w:rPr>
          <w:color w:val="231F20"/>
        </w:rPr>
        <w:t>Pathogens</w:t>
      </w:r>
      <w:r>
        <w:rPr>
          <w:color w:val="231F20"/>
        </w:rPr>
        <w:t xml:space="preserve"> and </w:t>
      </w:r>
      <w:r w:rsidR="006B610D">
        <w:rPr>
          <w:color w:val="231F20"/>
        </w:rPr>
        <w:t>Needle S</w:t>
      </w:r>
      <w:bookmarkStart w:id="0" w:name="_GoBack"/>
      <w:bookmarkEnd w:id="0"/>
      <w:r w:rsidR="006B610D">
        <w:rPr>
          <w:color w:val="231F20"/>
        </w:rPr>
        <w:t>tick</w:t>
      </w:r>
      <w:r>
        <w:rPr>
          <w:color w:val="231F20"/>
        </w:rPr>
        <w:t xml:space="preserve"> Prevention webpage URL</w:t>
      </w:r>
    </w:p>
    <w:p w:rsidR="00B75C66" w:rsidRDefault="00521784">
      <w:pPr>
        <w:spacing w:before="12"/>
        <w:ind w:left="100"/>
        <w:rPr>
          <w:i/>
          <w:sz w:val="24"/>
        </w:rPr>
      </w:pPr>
      <w:hyperlink r:id="rId11">
        <w:r>
          <w:rPr>
            <w:i/>
            <w:color w:val="008BBF"/>
            <w:sz w:val="24"/>
          </w:rPr>
          <w:t>https:</w:t>
        </w:r>
        <w:r>
          <w:rPr>
            <w:i/>
            <w:color w:val="008BBF"/>
            <w:sz w:val="24"/>
          </w:rPr>
          <w:t>//www.osha.gov/SLTC/bloodbornepathogens/recognition.html</w:t>
        </w:r>
      </w:hyperlink>
    </w:p>
    <w:p w:rsidR="00B75C66" w:rsidRDefault="00521784">
      <w:pPr>
        <w:pStyle w:val="BodyText"/>
        <w:spacing w:before="192"/>
        <w:ind w:left="100"/>
      </w:pPr>
      <w:r>
        <w:rPr>
          <w:color w:val="231F20"/>
        </w:rPr>
        <w:t>OSHA 29CFR 1910.1030 Reference Guide</w:t>
      </w:r>
    </w:p>
    <w:p w:rsidR="00B75C66" w:rsidRDefault="00521784">
      <w:pPr>
        <w:spacing w:before="12"/>
        <w:ind w:left="100"/>
        <w:rPr>
          <w:i/>
          <w:sz w:val="24"/>
        </w:rPr>
      </w:pPr>
      <w:hyperlink r:id="rId12">
        <w:r>
          <w:rPr>
            <w:i/>
            <w:color w:val="008BBF"/>
            <w:sz w:val="24"/>
          </w:rPr>
          <w:t>https://www.osha.gov/SLTC/bloodbornepathogens/bloodborne_quickref.html</w:t>
        </w:r>
      </w:hyperlink>
    </w:p>
    <w:p w:rsidR="00B75C66" w:rsidRDefault="00B75C66">
      <w:pPr>
        <w:rPr>
          <w:sz w:val="24"/>
        </w:rPr>
        <w:sectPr w:rsidR="00B75C66">
          <w:headerReference w:type="default" r:id="rId13"/>
          <w:footerReference w:type="default" r:id="rId14"/>
          <w:pgSz w:w="12240" w:h="15840"/>
          <w:pgMar w:top="1160" w:right="980" w:bottom="1360" w:left="980" w:header="972" w:footer="1160" w:gutter="0"/>
          <w:pgNumType w:start="2"/>
          <w:cols w:space="720"/>
        </w:sectPr>
      </w:pPr>
    </w:p>
    <w:p w:rsidR="00B75C66" w:rsidRDefault="00B75C66">
      <w:pPr>
        <w:pStyle w:val="BodyText"/>
        <w:rPr>
          <w:i/>
          <w:sz w:val="20"/>
        </w:rPr>
      </w:pPr>
    </w:p>
    <w:p w:rsidR="00B75C66" w:rsidRDefault="00B75C66">
      <w:pPr>
        <w:pStyle w:val="BodyText"/>
        <w:spacing w:before="3"/>
        <w:rPr>
          <w:i/>
          <w:sz w:val="21"/>
        </w:rPr>
      </w:pPr>
    </w:p>
    <w:p w:rsidR="00B75C66" w:rsidRDefault="00521784">
      <w:pPr>
        <w:pStyle w:val="Heading1"/>
        <w:tabs>
          <w:tab w:val="left" w:pos="5055"/>
          <w:tab w:val="left" w:pos="5972"/>
          <w:tab w:val="left" w:pos="6890"/>
        </w:tabs>
        <w:ind w:left="3388"/>
      </w:pPr>
      <w:r>
        <w:rPr>
          <w:color w:val="231F20"/>
        </w:rPr>
        <w:t>Date: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  <w:r>
        <w:rPr>
          <w:color w:val="231F20"/>
        </w:rPr>
        <w:t>/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p w:rsidR="00B75C66" w:rsidRDefault="00B75C66">
      <w:pPr>
        <w:pStyle w:val="BodyText"/>
        <w:spacing w:before="9"/>
        <w:rPr>
          <w:b/>
        </w:rPr>
      </w:pPr>
    </w:p>
    <w:p w:rsidR="00B75C66" w:rsidRDefault="00521784">
      <w:pPr>
        <w:spacing w:before="90" w:line="249" w:lineRule="auto"/>
        <w:ind w:left="4139" w:right="2763" w:hanging="1359"/>
        <w:rPr>
          <w:b/>
          <w:sz w:val="30"/>
        </w:rPr>
      </w:pPr>
      <w:r>
        <w:rPr>
          <w:b/>
          <w:color w:val="231F20"/>
          <w:sz w:val="30"/>
        </w:rPr>
        <w:t>“Blood and Bodily Fluids Safety” Sign In Sheet:</w:t>
      </w:r>
    </w:p>
    <w:p w:rsidR="00B75C66" w:rsidRDefault="00B75C66">
      <w:pPr>
        <w:pStyle w:val="BodyText"/>
        <w:spacing w:before="6"/>
        <w:rPr>
          <w:b/>
          <w:sz w:val="31"/>
        </w:rPr>
      </w:pPr>
    </w:p>
    <w:p w:rsidR="00B75C66" w:rsidRDefault="00521784">
      <w:pPr>
        <w:tabs>
          <w:tab w:val="left" w:pos="7210"/>
        </w:tabs>
        <w:ind w:left="986"/>
        <w:rPr>
          <w:b/>
          <w:sz w:val="30"/>
        </w:rPr>
      </w:pPr>
      <w:r>
        <w:rPr>
          <w:b/>
          <w:color w:val="231F20"/>
          <w:sz w:val="30"/>
        </w:rPr>
        <w:t>Name:</w:t>
      </w:r>
      <w:r>
        <w:rPr>
          <w:b/>
          <w:color w:val="231F20"/>
          <w:sz w:val="30"/>
        </w:rPr>
        <w:tab/>
        <w:t>Signature:</w: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5"/>
        <w:rPr>
          <w:b/>
          <w:sz w:val="16"/>
        </w:rPr>
      </w:pPr>
      <w:r>
        <w:pict>
          <v:line id="_x0000_s1053" style="position:absolute;z-index:251646976;mso-wrap-distance-left:0;mso-wrap-distance-right:0;mso-position-horizontal-relative:page" from="54pt,12.15pt" to="212.45pt,12.15pt" strokecolor="#221e1f" strokeweight=".47094mm">
            <w10:wrap type="topAndBottom" anchorx="page"/>
          </v:line>
        </w:pict>
      </w:r>
      <w:r>
        <w:pict>
          <v:line id="_x0000_s1052" style="position:absolute;z-index:251648000;mso-wrap-distance-left:0;mso-wrap-distance-right:0;mso-position-horizontal-relative:page" from="366.55pt,12.15pt" to="533.35pt,12.1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51" style="position:absolute;z-index:25164902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50" style="position:absolute;z-index:25165004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49" style="position:absolute;z-index:25165107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8" style="position:absolute;z-index:25165209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47" style="position:absolute;z-index:25165312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6" style="position:absolute;z-index:25165414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45" style="position:absolute;z-index:251655168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4" style="position:absolute;z-index:251656192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43" style="position:absolute;z-index:251657216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2" style="position:absolute;z-index:251658240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41" style="position:absolute;z-index:25165926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40" style="position:absolute;z-index:25166028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39" style="position:absolute;z-index:25166131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8" style="position:absolute;z-index:25166233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37" style="position:absolute;z-index:25166336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6" style="position:absolute;z-index:25166438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35" style="position:absolute;z-index:251665408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4" style="position:absolute;z-index:251666432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33" style="position:absolute;z-index:251667456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2" style="position:absolute;z-index:251668480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31" style="position:absolute;z-index:251669504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30" style="position:absolute;z-index:251670528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29" style="position:absolute;z-index:251671552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28" style="position:absolute;z-index:251672576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p w:rsidR="00B75C66" w:rsidRDefault="00B75C66">
      <w:pPr>
        <w:pStyle w:val="BodyText"/>
        <w:rPr>
          <w:b/>
          <w:sz w:val="20"/>
        </w:rPr>
      </w:pPr>
    </w:p>
    <w:p w:rsidR="00B75C66" w:rsidRDefault="00B75C66">
      <w:pPr>
        <w:pStyle w:val="BodyText"/>
        <w:rPr>
          <w:b/>
          <w:sz w:val="20"/>
        </w:rPr>
      </w:pPr>
    </w:p>
    <w:p w:rsidR="00B75C66" w:rsidRDefault="00521784">
      <w:pPr>
        <w:pStyle w:val="BodyText"/>
        <w:spacing w:before="3"/>
        <w:rPr>
          <w:b/>
          <w:sz w:val="14"/>
        </w:rPr>
      </w:pPr>
      <w:r>
        <w:pict>
          <v:line id="_x0000_s1027" style="position:absolute;z-index:251673600;mso-wrap-distance-left:0;mso-wrap-distance-right:0;mso-position-horizontal-relative:page" from="54pt,10.85pt" to="212.45pt,10.85pt" strokecolor="#221e1f" strokeweight=".47094mm">
            <w10:wrap type="topAndBottom" anchorx="page"/>
          </v:line>
        </w:pict>
      </w:r>
      <w:r>
        <w:pict>
          <v:line id="_x0000_s1026" style="position:absolute;z-index:251674624;mso-wrap-distance-left:0;mso-wrap-distance-right:0;mso-position-horizontal-relative:page" from="366.55pt,10.85pt" to="533.35pt,10.85pt" strokecolor="#221e1f" strokeweight=".47094mm">
            <w10:wrap type="topAndBottom" anchorx="page"/>
          </v:line>
        </w:pict>
      </w:r>
    </w:p>
    <w:sectPr w:rsidR="00B75C66">
      <w:pgSz w:w="12240" w:h="15840"/>
      <w:pgMar w:top="1160" w:right="980" w:bottom="1360" w:left="980" w:header="972" w:footer="1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84" w:rsidRDefault="00521784">
      <w:r>
        <w:separator/>
      </w:r>
    </w:p>
  </w:endnote>
  <w:endnote w:type="continuationSeparator" w:id="0">
    <w:p w:rsidR="00521784" w:rsidRDefault="0052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">
    <w:altName w:val="Franklin Gothic"/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66" w:rsidRDefault="00521784">
    <w:pPr>
      <w:pStyle w:val="BodyText"/>
      <w:spacing w:line="14" w:lineRule="auto"/>
      <w:rPr>
        <w:sz w:val="20"/>
      </w:rPr>
    </w:pPr>
    <w:r>
      <w:pict>
        <v:line id="_x0000_s2051" style="position:absolute;z-index:-5344;mso-position-horizontal-relative:page;mso-position-vertical-relative:page" from="54pt,720.5pt" to="558pt,720.5pt" strokecolor="#40ad49" strokeweight="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32.65pt;width:60.3pt;height:10.95pt;z-index:-5320;mso-position-horizontal-relative:page;mso-position-vertical-relative:page" filled="f" stroked="f">
          <v:textbox inset="0,0,0,0">
            <w:txbxContent>
              <w:p w:rsidR="00B75C66" w:rsidRDefault="00521784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Everyday Safety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1.65pt;margin-top:733.65pt;width:28.4pt;height:10.95pt;z-index:-5296;mso-position-horizontal-relative:page;mso-position-vertical-relative:page" filled="f" stroked="f">
          <v:textbox inset="0,0,0,0">
            <w:txbxContent>
              <w:p w:rsidR="00B75C66" w:rsidRDefault="00521784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B610D">
                  <w:rPr>
                    <w:i/>
                    <w:noProof/>
                    <w:color w:val="231F20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84" w:rsidRDefault="00521784">
      <w:r>
        <w:separator/>
      </w:r>
    </w:p>
  </w:footnote>
  <w:footnote w:type="continuationSeparator" w:id="0">
    <w:p w:rsidR="00521784" w:rsidRDefault="0052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66" w:rsidRDefault="0052178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4.15pt;margin-top:48.65pt;width:153.25pt;height:10.95pt;z-index:-5368;mso-position-horizontal-relative:page;mso-position-vertical-relative:page" filled="f" stroked="f">
          <v:textbox inset="0,0,0,0">
            <w:txbxContent>
              <w:p w:rsidR="00B75C66" w:rsidRDefault="00521784">
                <w:pPr>
                  <w:spacing w:before="14"/>
                  <w:ind w:left="20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z w:val="16"/>
                  </w:rPr>
                  <w:t>BLOOD AND BODILY FLUIDS SAFETY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D3C4F"/>
    <w:multiLevelType w:val="hybridMultilevel"/>
    <w:tmpl w:val="C3705B98"/>
    <w:lvl w:ilvl="0" w:tplc="639E0C8A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en-US" w:eastAsia="en-US" w:bidi="en-US"/>
      </w:rPr>
    </w:lvl>
    <w:lvl w:ilvl="1" w:tplc="63F2A586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2" w:tplc="815C3D0A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3" w:tplc="035C273C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73AC2C6A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en-US"/>
      </w:rPr>
    </w:lvl>
    <w:lvl w:ilvl="5" w:tplc="6E9827C0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509CE1C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3C8085F6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en-US"/>
      </w:rPr>
    </w:lvl>
    <w:lvl w:ilvl="8" w:tplc="9048957C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5C66"/>
    <w:rsid w:val="00521784"/>
    <w:rsid w:val="006B610D"/>
    <w:rsid w:val="00B7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6D31181"/>
  <w15:docId w15:val="{6C98FC65-A897-44E6-900D-4C9B2A42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0"/>
      <w:ind w:left="986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i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sha.gov/SLTC/bloodbornepathogens/bloodborne_quickref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sha.gov/SLTC/bloodbornepathogens/recognitio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bloodsafety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2030</Characters>
  <Application>Microsoft Office Word</Application>
  <DocSecurity>0</DocSecurity>
  <Lines>16</Lines>
  <Paragraphs>4</Paragraphs>
  <ScaleCrop>false</ScaleCrop>
  <Company>Cornell University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Howell</cp:lastModifiedBy>
  <cp:revision>2</cp:revision>
  <dcterms:created xsi:type="dcterms:W3CDTF">2018-01-09T16:01:00Z</dcterms:created>
  <dcterms:modified xsi:type="dcterms:W3CDTF">2018-01-09T16:02:00Z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2018-01-09T00:00:00Z</vt:filetime>
  </property>
</Properties>
</file>